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C2B" w:rsidRDefault="004B7C2B">
      <w:pPr>
        <w:rPr>
          <w:rFonts w:hint="eastAsia"/>
        </w:rPr>
      </w:pPr>
    </w:p>
    <w:tbl>
      <w:tblPr>
        <w:tblW w:w="0" w:type="auto"/>
        <w:jc w:val="center"/>
        <w:tblCellSpacing w:w="0" w:type="dxa"/>
        <w:tblCellMar>
          <w:left w:w="0" w:type="dxa"/>
          <w:right w:w="0" w:type="dxa"/>
        </w:tblCellMar>
        <w:tblLook w:val="04A0"/>
      </w:tblPr>
      <w:tblGrid>
        <w:gridCol w:w="8306"/>
      </w:tblGrid>
      <w:tr w:rsidR="006B3C0B" w:rsidRPr="006B3C0B">
        <w:trPr>
          <w:tblCellSpacing w:w="0" w:type="dxa"/>
          <w:jc w:val="center"/>
        </w:trPr>
        <w:tc>
          <w:tcPr>
            <w:tcW w:w="11340" w:type="dxa"/>
            <w:vAlign w:val="center"/>
            <w:hideMark/>
          </w:tcPr>
          <w:p w:rsidR="006B3C0B" w:rsidRPr="006B3C0B" w:rsidRDefault="006B3C0B" w:rsidP="006B3C0B">
            <w:pPr>
              <w:widowControl/>
              <w:jc w:val="center"/>
              <w:rPr>
                <w:rFonts w:ascii="宋体" w:eastAsia="宋体" w:hAnsi="宋体" w:cs="宋体"/>
                <w:color w:val="000000"/>
                <w:kern w:val="0"/>
                <w:sz w:val="24"/>
                <w:szCs w:val="24"/>
              </w:rPr>
            </w:pPr>
            <w:r w:rsidRPr="006B3C0B">
              <w:rPr>
                <w:rFonts w:ascii="宋体" w:eastAsia="宋体" w:hAnsi="宋体" w:cs="宋体"/>
                <w:b/>
                <w:bCs/>
                <w:color w:val="FF0000"/>
                <w:kern w:val="0"/>
                <w:sz w:val="36"/>
                <w:szCs w:val="36"/>
              </w:rPr>
              <w:t>关于开展＂双一流＂学生全球胜任力提升项目</w:t>
            </w:r>
            <w:proofErr w:type="gramStart"/>
            <w:r w:rsidRPr="006B3C0B">
              <w:rPr>
                <w:rFonts w:ascii="宋体" w:eastAsia="宋体" w:hAnsi="宋体" w:cs="宋体"/>
                <w:b/>
                <w:bCs/>
                <w:color w:val="FF0000"/>
                <w:kern w:val="0"/>
                <w:sz w:val="36"/>
                <w:szCs w:val="36"/>
              </w:rPr>
              <w:t>暨建侯</w:t>
            </w:r>
            <w:proofErr w:type="gramEnd"/>
            <w:r w:rsidRPr="006B3C0B">
              <w:rPr>
                <w:rFonts w:ascii="宋体" w:eastAsia="宋体" w:hAnsi="宋体" w:cs="宋体"/>
                <w:b/>
                <w:bCs/>
                <w:color w:val="FF0000"/>
                <w:kern w:val="0"/>
                <w:sz w:val="36"/>
                <w:szCs w:val="36"/>
              </w:rPr>
              <w:t>研究生学术素养提升海外实践项目选拔工作的通知</w:t>
            </w:r>
          </w:p>
          <w:p w:rsidR="006B3C0B" w:rsidRPr="006B3C0B" w:rsidRDefault="006B3C0B" w:rsidP="006B3C0B">
            <w:pPr>
              <w:widowControl/>
              <w:jc w:val="left"/>
              <w:rPr>
                <w:rFonts w:ascii="宋体" w:eastAsia="宋体" w:hAnsi="宋体" w:cs="宋体"/>
                <w:color w:val="000000"/>
                <w:kern w:val="0"/>
                <w:sz w:val="24"/>
                <w:szCs w:val="24"/>
              </w:rPr>
            </w:pPr>
          </w:p>
        </w:tc>
      </w:tr>
    </w:tbl>
    <w:p w:rsidR="006B3C0B" w:rsidRPr="006B3C0B" w:rsidRDefault="006B3C0B" w:rsidP="006B3C0B">
      <w:pPr>
        <w:widowControl/>
        <w:jc w:val="center"/>
        <w:rPr>
          <w:rFonts w:ascii="宋体" w:eastAsia="宋体" w:hAnsi="宋体" w:cs="宋体"/>
          <w:vanish/>
          <w:color w:val="000000"/>
          <w:kern w:val="0"/>
          <w:sz w:val="24"/>
          <w:szCs w:val="24"/>
        </w:rPr>
      </w:pPr>
    </w:p>
    <w:tbl>
      <w:tblPr>
        <w:tblW w:w="0" w:type="auto"/>
        <w:jc w:val="center"/>
        <w:tblCellSpacing w:w="0" w:type="dxa"/>
        <w:tblCellMar>
          <w:left w:w="0" w:type="dxa"/>
          <w:right w:w="0" w:type="dxa"/>
        </w:tblCellMar>
        <w:tblLook w:val="04A0"/>
      </w:tblPr>
      <w:tblGrid>
        <w:gridCol w:w="8306"/>
      </w:tblGrid>
      <w:tr w:rsidR="006B3C0B" w:rsidRPr="006B3C0B">
        <w:trPr>
          <w:trHeight w:val="60"/>
          <w:tblCellSpacing w:w="0" w:type="dxa"/>
          <w:jc w:val="center"/>
        </w:trPr>
        <w:tc>
          <w:tcPr>
            <w:tcW w:w="11700" w:type="dxa"/>
            <w:shd w:val="clear" w:color="auto" w:fill="FF0000"/>
            <w:vAlign w:val="center"/>
            <w:hideMark/>
          </w:tcPr>
          <w:p w:rsidR="006B3C0B" w:rsidRPr="006B3C0B" w:rsidRDefault="006B3C0B" w:rsidP="006B3C0B">
            <w:pPr>
              <w:widowControl/>
              <w:spacing w:line="60" w:lineRule="atLeast"/>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7620" cy="7620"/>
                  <wp:effectExtent l="0" t="0" r="0" b="0"/>
                  <wp:docPr id="1" name="图片 1" descr="http://oa.swjtu.edu.cn/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a.swjtu.edu.cn/icons/ecblank.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bl>
    <w:p w:rsidR="006B3C0B" w:rsidRPr="006B3C0B" w:rsidRDefault="006B3C0B" w:rsidP="006B3C0B">
      <w:pPr>
        <w:widowControl/>
        <w:jc w:val="center"/>
        <w:rPr>
          <w:rFonts w:ascii="宋体" w:eastAsia="宋体" w:hAnsi="宋体" w:cs="宋体"/>
          <w:vanish/>
          <w:color w:val="000000"/>
          <w:kern w:val="0"/>
          <w:sz w:val="24"/>
          <w:szCs w:val="24"/>
        </w:rPr>
      </w:pPr>
    </w:p>
    <w:tbl>
      <w:tblPr>
        <w:tblW w:w="0" w:type="auto"/>
        <w:jc w:val="center"/>
        <w:tblCellMar>
          <w:left w:w="0" w:type="dxa"/>
          <w:right w:w="0" w:type="dxa"/>
        </w:tblCellMar>
        <w:tblLook w:val="04A0"/>
      </w:tblPr>
      <w:tblGrid>
        <w:gridCol w:w="1440"/>
        <w:gridCol w:w="2788"/>
        <w:gridCol w:w="1384"/>
        <w:gridCol w:w="2694"/>
      </w:tblGrid>
      <w:tr w:rsidR="006B3C0B" w:rsidRPr="006B3C0B">
        <w:trPr>
          <w:jc w:val="center"/>
        </w:trPr>
        <w:tc>
          <w:tcPr>
            <w:tcW w:w="10200" w:type="dxa"/>
            <w:gridSpan w:val="4"/>
            <w:hideMark/>
          </w:tcPr>
          <w:p w:rsidR="006B3C0B" w:rsidRPr="006B3C0B" w:rsidRDefault="006B3C0B" w:rsidP="006B3C0B">
            <w:pPr>
              <w:widowControl/>
              <w:jc w:val="left"/>
              <w:rPr>
                <w:rFonts w:ascii="宋体" w:eastAsia="宋体" w:hAnsi="宋体" w:cs="宋体"/>
                <w:color w:val="000000"/>
                <w:kern w:val="0"/>
                <w:sz w:val="24"/>
                <w:szCs w:val="24"/>
              </w:rPr>
            </w:pPr>
          </w:p>
        </w:tc>
      </w:tr>
      <w:tr w:rsidR="006B3C0B" w:rsidRPr="006B3C0B">
        <w:trPr>
          <w:jc w:val="center"/>
        </w:trPr>
        <w:tc>
          <w:tcPr>
            <w:tcW w:w="10200" w:type="dxa"/>
            <w:gridSpan w:val="4"/>
            <w:hideMark/>
          </w:tcPr>
          <w:tbl>
            <w:tblPr>
              <w:tblW w:w="0" w:type="auto"/>
              <w:jc w:val="center"/>
              <w:tblCellSpacing w:w="15" w:type="dxa"/>
              <w:tblCellMar>
                <w:top w:w="15" w:type="dxa"/>
                <w:left w:w="15" w:type="dxa"/>
                <w:bottom w:w="15" w:type="dxa"/>
                <w:right w:w="15" w:type="dxa"/>
              </w:tblCellMar>
              <w:tblLook w:val="04A0"/>
            </w:tblPr>
            <w:tblGrid>
              <w:gridCol w:w="8306"/>
            </w:tblGrid>
            <w:tr w:rsidR="006B3C0B" w:rsidRPr="006B3C0B">
              <w:trPr>
                <w:tblCellSpacing w:w="15" w:type="dxa"/>
                <w:jc w:val="center"/>
              </w:trPr>
              <w:tc>
                <w:tcPr>
                  <w:tcW w:w="0" w:type="auto"/>
                  <w:vAlign w:val="center"/>
                  <w:hideMark/>
                </w:tcPr>
                <w:p w:rsidR="006B3C0B" w:rsidRPr="006B3C0B" w:rsidRDefault="006B3C0B" w:rsidP="006B3C0B">
                  <w:pPr>
                    <w:widowControl/>
                    <w:jc w:val="left"/>
                    <w:rPr>
                      <w:rFonts w:ascii="宋体" w:eastAsia="宋体" w:hAnsi="宋体" w:cs="宋体"/>
                      <w:color w:val="000000"/>
                      <w:kern w:val="0"/>
                      <w:sz w:val="24"/>
                      <w:szCs w:val="24"/>
                    </w:rPr>
                  </w:pPr>
                </w:p>
              </w:tc>
            </w:tr>
            <w:tr w:rsidR="006B3C0B" w:rsidRPr="006B3C0B">
              <w:trPr>
                <w:tblCellSpacing w:w="15" w:type="dxa"/>
                <w:jc w:val="center"/>
              </w:trPr>
              <w:tc>
                <w:tcPr>
                  <w:tcW w:w="0" w:type="auto"/>
                  <w:vAlign w:val="center"/>
                  <w:hideMark/>
                </w:tcPr>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各相关研究生培养单位：</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为认真贯彻落</w:t>
                  </w:r>
                  <w:proofErr w:type="gramStart"/>
                  <w:r w:rsidRPr="006B3C0B">
                    <w:rPr>
                      <w:rFonts w:ascii="宋体" w:eastAsia="宋体" w:hAnsi="宋体" w:cs="宋体" w:hint="eastAsia"/>
                      <w:color w:val="000000"/>
                      <w:kern w:val="0"/>
                      <w:szCs w:val="21"/>
                    </w:rPr>
                    <w:t>实习近</w:t>
                  </w:r>
                  <w:proofErr w:type="gramEnd"/>
                  <w:r w:rsidRPr="006B3C0B">
                    <w:rPr>
                      <w:rFonts w:ascii="宋体" w:eastAsia="宋体" w:hAnsi="宋体" w:cs="宋体" w:hint="eastAsia"/>
                      <w:color w:val="000000"/>
                      <w:kern w:val="0"/>
                      <w:szCs w:val="21"/>
                    </w:rPr>
                    <w:t>平总书记在全国教育大会上的重要讲话精神，以新时代高质量发展为根本要求，加快推进“双一流”建设，培养德智体美劳全面发展的社会主义建设者和接班人，从2018-2019学年第一学期开始，学校将正式启动</w:t>
                  </w:r>
                  <w:r w:rsidRPr="006B3C0B">
                    <w:rPr>
                      <w:rFonts w:ascii="宋体" w:eastAsia="宋体" w:hAnsi="宋体" w:cs="宋体" w:hint="eastAsia"/>
                      <w:b/>
                      <w:bCs/>
                      <w:color w:val="000000"/>
                      <w:kern w:val="0"/>
                      <w:szCs w:val="21"/>
                    </w:rPr>
                    <w:t>“‘双一流’学生全球胜任力提升项目暨建侯研究生学术素养提升海外实践项目”</w:t>
                  </w:r>
                  <w:r w:rsidRPr="006B3C0B">
                    <w:rPr>
                      <w:rFonts w:ascii="宋体" w:eastAsia="宋体" w:hAnsi="宋体" w:cs="宋体" w:hint="eastAsia"/>
                      <w:color w:val="000000"/>
                      <w:kern w:val="0"/>
                      <w:szCs w:val="21"/>
                    </w:rPr>
                    <w:t>（以下简称“项目”），定期选拔并资助优秀研究生前往全球知名高校、研究机构、国际组织、海外企业等开展短期学术交流与社会实践；以“硬科学交通+”、“软科学+交通”的“双一流”学科建设内涵为导向，以高级别、高水平项目为引领和示范，系统提升我校研究生的学术创新能力和跨文化能力，持续提高人才培养质量，加速助推“轨道交通领域世界第一的大学”创建。现将第一期项目具体事项通知如下：</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xml:space="preserve">    </w:t>
                  </w:r>
                  <w:r w:rsidRPr="006B3C0B">
                    <w:rPr>
                      <w:rFonts w:ascii="宋体" w:eastAsia="宋体" w:hAnsi="宋体" w:cs="宋体" w:hint="eastAsia"/>
                      <w:b/>
                      <w:bCs/>
                      <w:color w:val="000000"/>
                      <w:kern w:val="0"/>
                      <w:szCs w:val="21"/>
                    </w:rPr>
                    <w:t>一、项目简介</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选拔我校优秀研究生前往日本知名院校进行为期11天（</w:t>
                  </w:r>
                  <w:r w:rsidRPr="006B3C0B">
                    <w:rPr>
                      <w:rFonts w:ascii="宋体" w:eastAsia="宋体" w:hAnsi="宋体" w:cs="宋体" w:hint="eastAsia"/>
                      <w:b/>
                      <w:bCs/>
                      <w:color w:val="000000"/>
                      <w:kern w:val="0"/>
                      <w:szCs w:val="21"/>
                    </w:rPr>
                    <w:t>2018年11月11日—2018年11月21日</w:t>
                  </w:r>
                  <w:r w:rsidRPr="006B3C0B">
                    <w:rPr>
                      <w:rFonts w:ascii="宋体" w:eastAsia="宋体" w:hAnsi="宋体" w:cs="宋体" w:hint="eastAsia"/>
                      <w:color w:val="000000"/>
                      <w:kern w:val="0"/>
                      <w:szCs w:val="21"/>
                    </w:rPr>
                    <w:t>，以签证实际办理进度为准）的学术交流访问与实践学习，包括交通运输学科群相</w:t>
                  </w:r>
                  <w:proofErr w:type="gramStart"/>
                  <w:r w:rsidRPr="006B3C0B">
                    <w:rPr>
                      <w:rFonts w:ascii="宋体" w:eastAsia="宋体" w:hAnsi="宋体" w:cs="宋体" w:hint="eastAsia"/>
                      <w:color w:val="000000"/>
                      <w:kern w:val="0"/>
                      <w:szCs w:val="21"/>
                    </w:rPr>
                    <w:t>关专业</w:t>
                  </w:r>
                  <w:proofErr w:type="gramEnd"/>
                  <w:r w:rsidRPr="006B3C0B">
                    <w:rPr>
                      <w:rFonts w:ascii="宋体" w:eastAsia="宋体" w:hAnsi="宋体" w:cs="宋体" w:hint="eastAsia"/>
                      <w:color w:val="000000"/>
                      <w:kern w:val="0"/>
                      <w:szCs w:val="21"/>
                    </w:rPr>
                    <w:t>课程学习（由日方资深教授以讲座、论坛、研讨的形式进行），以及重点实验室、知名企业参访等，具体日程设置及海外实践院校和机构简介详见附件一、附件二。</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xml:space="preserve">    </w:t>
                  </w:r>
                  <w:r w:rsidRPr="006B3C0B">
                    <w:rPr>
                      <w:rFonts w:ascii="宋体" w:eastAsia="宋体" w:hAnsi="宋体" w:cs="宋体" w:hint="eastAsia"/>
                      <w:b/>
                      <w:bCs/>
                      <w:color w:val="000000"/>
                      <w:kern w:val="0"/>
                      <w:szCs w:val="21"/>
                    </w:rPr>
                    <w:t>二、选拔对象</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选拔综合表现优异、学术成果突出、外语水平高、身心健康的全日制博士研究生（</w:t>
                  </w:r>
                  <w:proofErr w:type="gramStart"/>
                  <w:r w:rsidRPr="006B3C0B">
                    <w:rPr>
                      <w:rFonts w:ascii="宋体" w:eastAsia="宋体" w:hAnsi="宋体" w:cs="宋体" w:hint="eastAsia"/>
                      <w:color w:val="000000"/>
                      <w:kern w:val="0"/>
                      <w:szCs w:val="21"/>
                    </w:rPr>
                    <w:t>含硕博</w:t>
                  </w:r>
                  <w:proofErr w:type="gramEnd"/>
                  <w:r w:rsidRPr="006B3C0B">
                    <w:rPr>
                      <w:rFonts w:ascii="宋体" w:eastAsia="宋体" w:hAnsi="宋体" w:cs="宋体" w:hint="eastAsia"/>
                      <w:color w:val="000000"/>
                      <w:kern w:val="0"/>
                      <w:szCs w:val="21"/>
                    </w:rPr>
                    <w:t>连读、</w:t>
                  </w:r>
                  <w:proofErr w:type="gramStart"/>
                  <w:r w:rsidRPr="006B3C0B">
                    <w:rPr>
                      <w:rFonts w:ascii="宋体" w:eastAsia="宋体" w:hAnsi="宋体" w:cs="宋体" w:hint="eastAsia"/>
                      <w:color w:val="000000"/>
                      <w:kern w:val="0"/>
                      <w:szCs w:val="21"/>
                    </w:rPr>
                    <w:t>直博生</w:t>
                  </w:r>
                  <w:proofErr w:type="gramEnd"/>
                  <w:r w:rsidRPr="006B3C0B">
                    <w:rPr>
                      <w:rFonts w:ascii="宋体" w:eastAsia="宋体" w:hAnsi="宋体" w:cs="宋体" w:hint="eastAsia"/>
                      <w:color w:val="000000"/>
                      <w:kern w:val="0"/>
                      <w:szCs w:val="21"/>
                    </w:rPr>
                    <w:t>）以及特别优秀的硕士研究生共30人；重点考虑研究生群体中的国家奖学金（多次）获得者、国家国际高级别学术竞赛获奖者以及在顶级学术期刊发表高水平论文者等；各相关培养单位具体选拔人数将通过研究生</w:t>
                  </w:r>
                  <w:proofErr w:type="gramStart"/>
                  <w:r w:rsidRPr="006B3C0B">
                    <w:rPr>
                      <w:rFonts w:ascii="宋体" w:eastAsia="宋体" w:hAnsi="宋体" w:cs="宋体" w:hint="eastAsia"/>
                      <w:color w:val="000000"/>
                      <w:kern w:val="0"/>
                      <w:szCs w:val="21"/>
                    </w:rPr>
                    <w:t>教务员</w:t>
                  </w:r>
                  <w:proofErr w:type="gramEnd"/>
                  <w:r w:rsidRPr="006B3C0B">
                    <w:rPr>
                      <w:rFonts w:ascii="宋体" w:eastAsia="宋体" w:hAnsi="宋体" w:cs="宋体" w:hint="eastAsia"/>
                      <w:color w:val="000000"/>
                      <w:kern w:val="0"/>
                      <w:szCs w:val="21"/>
                    </w:rPr>
                    <w:t>系统通知。</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xml:space="preserve">    </w:t>
                  </w:r>
                  <w:r w:rsidRPr="006B3C0B">
                    <w:rPr>
                      <w:rFonts w:ascii="宋体" w:eastAsia="宋体" w:hAnsi="宋体" w:cs="宋体" w:hint="eastAsia"/>
                      <w:b/>
                      <w:bCs/>
                      <w:color w:val="000000"/>
                      <w:kern w:val="0"/>
                      <w:szCs w:val="21"/>
                    </w:rPr>
                    <w:t>三、选拔程序</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培养单位考察推荐（可采取多种形式）  研究生导师同意并签字确认   培养单位汇总提交   研究生院、国际处审核并公布最终入围名单。</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xml:space="preserve">    </w:t>
                  </w:r>
                  <w:r w:rsidRPr="006B3C0B">
                    <w:rPr>
                      <w:rFonts w:ascii="宋体" w:eastAsia="宋体" w:hAnsi="宋体" w:cs="宋体" w:hint="eastAsia"/>
                      <w:b/>
                      <w:bCs/>
                      <w:color w:val="000000"/>
                      <w:kern w:val="0"/>
                      <w:szCs w:val="21"/>
                    </w:rPr>
                    <w:t>四、结业标准</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实践结束后15天内提交不少于中文10000字的海外学术实践报告（中英文版）。</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lastRenderedPageBreak/>
                    <w:t xml:space="preserve">    </w:t>
                  </w:r>
                  <w:r w:rsidRPr="006B3C0B">
                    <w:rPr>
                      <w:rFonts w:ascii="宋体" w:eastAsia="宋体" w:hAnsi="宋体" w:cs="宋体" w:hint="eastAsia"/>
                      <w:b/>
                      <w:bCs/>
                      <w:color w:val="000000"/>
                      <w:kern w:val="0"/>
                      <w:szCs w:val="21"/>
                    </w:rPr>
                    <w:t>五、项目经费</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由学校“双一流”经费全额资助。</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color w:val="000000"/>
                      <w:kern w:val="0"/>
                      <w:szCs w:val="21"/>
                    </w:rPr>
                    <w:t xml:space="preserve">    </w:t>
                  </w:r>
                  <w:r w:rsidRPr="006B3C0B">
                    <w:rPr>
                      <w:rFonts w:ascii="宋体" w:eastAsia="宋体" w:hAnsi="宋体" w:cs="宋体" w:hint="eastAsia"/>
                      <w:b/>
                      <w:bCs/>
                      <w:color w:val="000000"/>
                      <w:kern w:val="0"/>
                      <w:szCs w:val="21"/>
                    </w:rPr>
                    <w:t>六、其他说明</w:t>
                  </w:r>
                </w:p>
                <w:p w:rsidR="006B3C0B" w:rsidRPr="006B3C0B" w:rsidRDefault="006B3C0B" w:rsidP="006B3C0B">
                  <w:pPr>
                    <w:widowControl/>
                    <w:spacing w:before="100" w:beforeAutospacing="1" w:after="100" w:afterAutospacing="1"/>
                    <w:jc w:val="left"/>
                    <w:rPr>
                      <w:rFonts w:ascii="宋体" w:eastAsia="宋体" w:hAnsi="宋体" w:cs="宋体"/>
                      <w:color w:val="000000"/>
                      <w:kern w:val="0"/>
                      <w:szCs w:val="21"/>
                    </w:rPr>
                  </w:pPr>
                  <w:r w:rsidRPr="006B3C0B">
                    <w:rPr>
                      <w:rFonts w:ascii="宋体" w:eastAsia="宋体" w:hAnsi="宋体" w:cs="宋体" w:hint="eastAsia"/>
                      <w:b/>
                      <w:bCs/>
                      <w:color w:val="000000"/>
                      <w:kern w:val="0"/>
                      <w:szCs w:val="21"/>
                    </w:rPr>
                    <w:t xml:space="preserve">    </w:t>
                  </w:r>
                  <w:r w:rsidRPr="006B3C0B">
                    <w:rPr>
                      <w:rFonts w:ascii="宋体" w:eastAsia="宋体" w:hAnsi="宋体" w:cs="宋体" w:hint="eastAsia"/>
                      <w:color w:val="000000"/>
                      <w:kern w:val="0"/>
                      <w:szCs w:val="21"/>
                    </w:rPr>
                    <w:t>请各培养单位根据本期项目主要内容，结合“硬科学交通+”、“软科学+交通”的“双一流”学科建设内涵，选拔研究方向、研究专长与项目契合度高的研究生（</w:t>
                  </w:r>
                  <w:r w:rsidRPr="006B3C0B">
                    <w:rPr>
                      <w:rFonts w:ascii="宋体" w:eastAsia="宋体" w:hAnsi="宋体" w:cs="宋体" w:hint="eastAsia"/>
                      <w:b/>
                      <w:bCs/>
                      <w:color w:val="000000"/>
                      <w:kern w:val="0"/>
                      <w:szCs w:val="21"/>
                    </w:rPr>
                    <w:t>因安排时间较紧，建议本次尽可能推荐已有护照且满足选拔条件的研究生参加</w:t>
                  </w:r>
                  <w:r w:rsidRPr="006B3C0B">
                    <w:rPr>
                      <w:rFonts w:ascii="宋体" w:eastAsia="宋体" w:hAnsi="宋体" w:cs="宋体" w:hint="eastAsia"/>
                      <w:color w:val="000000"/>
                      <w:kern w:val="0"/>
                      <w:szCs w:val="21"/>
                    </w:rPr>
                    <w:t>），并于2018年9月30日（星期日）下午17：00前将项目人选信息汇总表（附件三）电子版、纸质版（分管学位与研究生教育院领导签字、学院盖章）提交至研究生院综合办（</w:t>
                  </w:r>
                  <w:proofErr w:type="gramStart"/>
                  <w:r w:rsidRPr="006B3C0B">
                    <w:rPr>
                      <w:rFonts w:ascii="宋体" w:eastAsia="宋体" w:hAnsi="宋体" w:cs="宋体" w:hint="eastAsia"/>
                      <w:color w:val="000000"/>
                      <w:kern w:val="0"/>
                      <w:szCs w:val="21"/>
                    </w:rPr>
                    <w:t>犀</w:t>
                  </w:r>
                  <w:proofErr w:type="gramEnd"/>
                  <w:r w:rsidRPr="006B3C0B">
                    <w:rPr>
                      <w:rFonts w:ascii="宋体" w:eastAsia="宋体" w:hAnsi="宋体" w:cs="宋体" w:hint="eastAsia"/>
                      <w:color w:val="000000"/>
                      <w:kern w:val="0"/>
                      <w:szCs w:val="21"/>
                    </w:rPr>
                    <w:t>浦校区综合楼232；联系电话：66367293；E-</w:t>
                  </w:r>
                  <w:proofErr w:type="spellStart"/>
                  <w:r w:rsidRPr="006B3C0B">
                    <w:rPr>
                      <w:rFonts w:ascii="宋体" w:eastAsia="宋体" w:hAnsi="宋体" w:cs="宋体" w:hint="eastAsia"/>
                      <w:color w:val="000000"/>
                      <w:kern w:val="0"/>
                      <w:szCs w:val="21"/>
                    </w:rPr>
                    <w:t>mail:yjsyzhb@swjtu.cn</w:t>
                  </w:r>
                  <w:proofErr w:type="spellEnd"/>
                  <w:r w:rsidRPr="006B3C0B">
                    <w:rPr>
                      <w:rFonts w:ascii="宋体" w:eastAsia="宋体" w:hAnsi="宋体" w:cs="宋体" w:hint="eastAsia"/>
                      <w:color w:val="000000"/>
                      <w:kern w:val="0"/>
                      <w:szCs w:val="21"/>
                    </w:rPr>
                    <w:t>）。</w:t>
                  </w:r>
                  <w:r w:rsidRPr="006B3C0B">
                    <w:rPr>
                      <w:rFonts w:ascii="宋体" w:eastAsia="宋体" w:hAnsi="宋体" w:cs="宋体" w:hint="eastAsia"/>
                      <w:b/>
                      <w:bCs/>
                      <w:color w:val="000000"/>
                      <w:kern w:val="0"/>
                      <w:szCs w:val="21"/>
                    </w:rPr>
                    <w:t>今后，学校还将根据经费情况，持续推出类似系列项目以及短期（3-6个月）世界名校（实验室）访学、国际组织及企业实习、“一带一路”海外工程项目联合实训等资助项目，请各培养单位及时关注研究生院“建侯课堂”公众号、国际合作与交流处官方网站，并统筹安排研究生同学积极参与。</w:t>
                  </w:r>
                </w:p>
                <w:p w:rsidR="006B3C0B" w:rsidRPr="006B3C0B" w:rsidRDefault="006B3C0B" w:rsidP="006B3C0B">
                  <w:pPr>
                    <w:widowControl/>
                    <w:jc w:val="left"/>
                    <w:rPr>
                      <w:rFonts w:ascii="宋体" w:eastAsia="宋体" w:hAnsi="宋体" w:cs="宋体"/>
                      <w:color w:val="000000"/>
                      <w:kern w:val="0"/>
                      <w:szCs w:val="21"/>
                    </w:rPr>
                  </w:pPr>
                  <w:r w:rsidRPr="006B3C0B">
                    <w:rPr>
                      <w:rFonts w:ascii="宋体" w:eastAsia="宋体" w:hAnsi="宋体" w:cs="宋体"/>
                      <w:color w:val="000000"/>
                      <w:kern w:val="0"/>
                      <w:szCs w:val="21"/>
                    </w:rPr>
                    <w:t xml:space="preserve">  </w:t>
                  </w:r>
                </w:p>
              </w:tc>
            </w:tr>
          </w:tbl>
          <w:p w:rsidR="006B3C0B" w:rsidRPr="006B3C0B" w:rsidRDefault="006B3C0B" w:rsidP="006B3C0B">
            <w:pPr>
              <w:widowControl/>
              <w:jc w:val="left"/>
              <w:rPr>
                <w:rFonts w:ascii="宋体" w:eastAsia="宋体" w:hAnsi="宋体" w:cs="宋体"/>
                <w:color w:val="000000"/>
                <w:kern w:val="0"/>
                <w:sz w:val="24"/>
                <w:szCs w:val="24"/>
              </w:rPr>
            </w:pPr>
          </w:p>
        </w:tc>
      </w:tr>
      <w:tr w:rsidR="006B3C0B" w:rsidRPr="006B3C0B">
        <w:trPr>
          <w:jc w:val="center"/>
        </w:trPr>
        <w:tc>
          <w:tcPr>
            <w:tcW w:w="10200" w:type="dxa"/>
            <w:gridSpan w:val="4"/>
            <w:vAlign w:val="center"/>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lastRenderedPageBreak/>
              <w:drawing>
                <wp:inline distT="0" distB="0" distL="0" distR="0">
                  <wp:extent cx="7620" cy="7620"/>
                  <wp:effectExtent l="0" t="0" r="0" b="0"/>
                  <wp:docPr id="2" name="图片 2" descr="http://oa.swjtu.edu.cn/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a.swjtu.edu.cn/icons/ecblank.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r w:rsidR="006B3C0B" w:rsidRPr="006B3C0B">
        <w:trPr>
          <w:jc w:val="center"/>
        </w:trPr>
        <w:tc>
          <w:tcPr>
            <w:tcW w:w="10200" w:type="dxa"/>
            <w:gridSpan w:val="4"/>
            <w:hideMark/>
          </w:tcPr>
          <w:p w:rsidR="006B3C0B" w:rsidRPr="006B3C0B" w:rsidRDefault="006B3C0B" w:rsidP="006B3C0B">
            <w:pPr>
              <w:widowControl/>
              <w:spacing w:after="240"/>
              <w:jc w:val="left"/>
              <w:rPr>
                <w:rFonts w:ascii="宋体" w:eastAsia="宋体" w:hAnsi="宋体" w:cs="宋体"/>
                <w:color w:val="000000"/>
                <w:kern w:val="0"/>
                <w:sz w:val="24"/>
                <w:szCs w:val="24"/>
              </w:rPr>
            </w:pPr>
            <w:r w:rsidRPr="006B3C0B">
              <w:rPr>
                <w:rFonts w:ascii="宋体" w:eastAsia="宋体" w:hAnsi="宋体" w:cs="宋体"/>
                <w:color w:val="000000"/>
                <w:kern w:val="0"/>
                <w:sz w:val="24"/>
                <w:szCs w:val="24"/>
              </w:rPr>
              <w:br/>
            </w:r>
            <w:r w:rsidRPr="006B3C0B">
              <w:rPr>
                <w:rFonts w:ascii="宋体" w:eastAsia="宋体" w:hAnsi="宋体" w:cs="宋体"/>
                <w:color w:val="000000"/>
                <w:kern w:val="0"/>
                <w:sz w:val="24"/>
                <w:szCs w:val="24"/>
              </w:rPr>
              <w:br/>
            </w:r>
          </w:p>
        </w:tc>
      </w:tr>
      <w:tr w:rsidR="006B3C0B" w:rsidRPr="006B3C0B">
        <w:trPr>
          <w:jc w:val="center"/>
        </w:trPr>
        <w:tc>
          <w:tcPr>
            <w:tcW w:w="10200" w:type="dxa"/>
            <w:gridSpan w:val="4"/>
            <w:vAlign w:val="center"/>
            <w:hideMark/>
          </w:tcPr>
          <w:tbl>
            <w:tblPr>
              <w:tblW w:w="5000" w:type="pct"/>
              <w:tblCellSpacing w:w="0" w:type="dxa"/>
              <w:tblCellMar>
                <w:left w:w="0" w:type="dxa"/>
                <w:right w:w="0" w:type="dxa"/>
              </w:tblCellMar>
              <w:tblLook w:val="04A0"/>
            </w:tblPr>
            <w:tblGrid>
              <w:gridCol w:w="8306"/>
            </w:tblGrid>
            <w:tr w:rsidR="006B3C0B" w:rsidRPr="006B3C0B">
              <w:trPr>
                <w:tblCellSpacing w:w="0" w:type="dxa"/>
              </w:trPr>
              <w:tc>
                <w:tcPr>
                  <w:tcW w:w="0" w:type="auto"/>
                  <w:vAlign w:val="center"/>
                  <w:hideMark/>
                </w:tcPr>
                <w:tbl>
                  <w:tblPr>
                    <w:tblW w:w="5000" w:type="pct"/>
                    <w:tblCellSpacing w:w="0" w:type="dxa"/>
                    <w:tblCellMar>
                      <w:left w:w="0" w:type="dxa"/>
                      <w:right w:w="0" w:type="dxa"/>
                    </w:tblCellMar>
                    <w:tblLook w:val="04A0"/>
                  </w:tblPr>
                  <w:tblGrid>
                    <w:gridCol w:w="831"/>
                    <w:gridCol w:w="7475"/>
                  </w:tblGrid>
                  <w:tr w:rsidR="006B3C0B" w:rsidRPr="006B3C0B">
                    <w:trPr>
                      <w:tblCellSpacing w:w="0" w:type="dxa"/>
                    </w:trPr>
                    <w:tc>
                      <w:tcPr>
                        <w:tcW w:w="500" w:type="pct"/>
                        <w:vAlign w:val="center"/>
                        <w:hideMark/>
                      </w:tcPr>
                      <w:p w:rsidR="006B3C0B" w:rsidRPr="006B3C0B" w:rsidRDefault="006B3C0B" w:rsidP="006B3C0B">
                        <w:pPr>
                          <w:widowControl/>
                          <w:jc w:val="left"/>
                          <w:rPr>
                            <w:rFonts w:ascii="宋体" w:eastAsia="宋体" w:hAnsi="宋体" w:cs="宋体"/>
                            <w:color w:val="000000"/>
                            <w:kern w:val="0"/>
                            <w:sz w:val="24"/>
                            <w:szCs w:val="24"/>
                          </w:rPr>
                        </w:pPr>
                      </w:p>
                    </w:tc>
                    <w:tc>
                      <w:tcPr>
                        <w:tcW w:w="0" w:type="auto"/>
                        <w:vAlign w:val="center"/>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124460" cy="102235"/>
                              <wp:effectExtent l="19050" t="0" r="8890" b="0"/>
                              <wp:docPr id="3" name="图片 3" descr="http://oa.swjtu.edu.cn/icons/vwicn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a.swjtu.edu.cn/icons/vwicn005.gif"/>
                                      <pic:cNvPicPr>
                                        <a:picLocks noChangeAspect="1" noChangeArrowheads="1"/>
                                      </pic:cNvPicPr>
                                    </pic:nvPicPr>
                                    <pic:blipFill>
                                      <a:blip r:embed="rId5" cstate="print"/>
                                      <a:srcRect/>
                                      <a:stretch>
                                        <a:fillRect/>
                                      </a:stretch>
                                    </pic:blipFill>
                                    <pic:spPr bwMode="auto">
                                      <a:xfrm>
                                        <a:off x="0" y="0"/>
                                        <a:ext cx="124460" cy="102235"/>
                                      </a:xfrm>
                                      <a:prstGeom prst="rect">
                                        <a:avLst/>
                                      </a:prstGeom>
                                      <a:noFill/>
                                      <a:ln w="9525">
                                        <a:noFill/>
                                        <a:miter lim="800000"/>
                                        <a:headEnd/>
                                        <a:tailEnd/>
                                      </a:ln>
                                    </pic:spPr>
                                  </pic:pic>
                                </a:graphicData>
                              </a:graphic>
                            </wp:inline>
                          </w:drawing>
                        </w:r>
                        <w:hyperlink r:id="rId6" w:tgtFrame="_blank" w:history="1">
                          <w:r w:rsidRPr="006B3C0B">
                            <w:rPr>
                              <w:rFonts w:ascii="宋体" w:eastAsia="宋体" w:hAnsi="宋体" w:cs="宋体"/>
                              <w:color w:val="0000FF"/>
                              <w:kern w:val="0"/>
                              <w:sz w:val="24"/>
                              <w:szCs w:val="24"/>
                              <w:u w:val="single"/>
                            </w:rPr>
                            <w:t>附件一：项目日程设置（初定）.doc</w:t>
                          </w:r>
                        </w:hyperlink>
                      </w:p>
                    </w:tc>
                  </w:tr>
                  <w:tr w:rsidR="006B3C0B" w:rsidRPr="006B3C0B">
                    <w:trPr>
                      <w:tblCellSpacing w:w="0" w:type="dxa"/>
                    </w:trPr>
                    <w:tc>
                      <w:tcPr>
                        <w:tcW w:w="500" w:type="pct"/>
                        <w:vAlign w:val="center"/>
                        <w:hideMark/>
                      </w:tcPr>
                      <w:p w:rsidR="006B3C0B" w:rsidRPr="006B3C0B" w:rsidRDefault="006B3C0B" w:rsidP="006B3C0B">
                        <w:pPr>
                          <w:widowControl/>
                          <w:jc w:val="left"/>
                          <w:rPr>
                            <w:rFonts w:ascii="宋体" w:eastAsia="宋体" w:hAnsi="宋体" w:cs="宋体"/>
                            <w:color w:val="000000"/>
                            <w:kern w:val="0"/>
                            <w:sz w:val="24"/>
                            <w:szCs w:val="24"/>
                          </w:rPr>
                        </w:pPr>
                      </w:p>
                    </w:tc>
                    <w:tc>
                      <w:tcPr>
                        <w:tcW w:w="0" w:type="auto"/>
                        <w:vAlign w:val="center"/>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124460" cy="102235"/>
                              <wp:effectExtent l="19050" t="0" r="8890" b="0"/>
                              <wp:docPr id="4" name="图片 4" descr="http://oa.swjtu.edu.cn/icons/vwicn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a.swjtu.edu.cn/icons/vwicn005.gif"/>
                                      <pic:cNvPicPr>
                                        <a:picLocks noChangeAspect="1" noChangeArrowheads="1"/>
                                      </pic:cNvPicPr>
                                    </pic:nvPicPr>
                                    <pic:blipFill>
                                      <a:blip r:embed="rId5" cstate="print"/>
                                      <a:srcRect/>
                                      <a:stretch>
                                        <a:fillRect/>
                                      </a:stretch>
                                    </pic:blipFill>
                                    <pic:spPr bwMode="auto">
                                      <a:xfrm>
                                        <a:off x="0" y="0"/>
                                        <a:ext cx="124460" cy="102235"/>
                                      </a:xfrm>
                                      <a:prstGeom prst="rect">
                                        <a:avLst/>
                                      </a:prstGeom>
                                      <a:noFill/>
                                      <a:ln w="9525">
                                        <a:noFill/>
                                        <a:miter lim="800000"/>
                                        <a:headEnd/>
                                        <a:tailEnd/>
                                      </a:ln>
                                    </pic:spPr>
                                  </pic:pic>
                                </a:graphicData>
                              </a:graphic>
                            </wp:inline>
                          </w:drawing>
                        </w:r>
                        <w:hyperlink r:id="rId7" w:tgtFrame="_blank" w:history="1">
                          <w:r w:rsidRPr="006B3C0B">
                            <w:rPr>
                              <w:rFonts w:ascii="宋体" w:eastAsia="宋体" w:hAnsi="宋体" w:cs="宋体"/>
                              <w:color w:val="0000FF"/>
                              <w:kern w:val="0"/>
                              <w:sz w:val="24"/>
                              <w:szCs w:val="24"/>
                              <w:u w:val="single"/>
                            </w:rPr>
                            <w:t>附件二：海外实践院校及机构简介.doc</w:t>
                          </w:r>
                        </w:hyperlink>
                      </w:p>
                    </w:tc>
                  </w:tr>
                  <w:tr w:rsidR="006B3C0B" w:rsidRPr="006B3C0B">
                    <w:trPr>
                      <w:tblCellSpacing w:w="0" w:type="dxa"/>
                    </w:trPr>
                    <w:tc>
                      <w:tcPr>
                        <w:tcW w:w="500" w:type="pct"/>
                        <w:vAlign w:val="center"/>
                        <w:hideMark/>
                      </w:tcPr>
                      <w:p w:rsidR="006B3C0B" w:rsidRPr="006B3C0B" w:rsidRDefault="006B3C0B" w:rsidP="006B3C0B">
                        <w:pPr>
                          <w:widowControl/>
                          <w:jc w:val="left"/>
                          <w:rPr>
                            <w:rFonts w:ascii="宋体" w:eastAsia="宋体" w:hAnsi="宋体" w:cs="宋体"/>
                            <w:color w:val="000000"/>
                            <w:kern w:val="0"/>
                            <w:sz w:val="24"/>
                            <w:szCs w:val="24"/>
                          </w:rPr>
                        </w:pPr>
                      </w:p>
                    </w:tc>
                    <w:tc>
                      <w:tcPr>
                        <w:tcW w:w="0" w:type="auto"/>
                        <w:vAlign w:val="center"/>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124460" cy="102235"/>
                              <wp:effectExtent l="19050" t="0" r="8890" b="0"/>
                              <wp:docPr id="5" name="图片 5" descr="http://oa.swjtu.edu.cn/icons/vwicn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a.swjtu.edu.cn/icons/vwicn005.gif"/>
                                      <pic:cNvPicPr>
                                        <a:picLocks noChangeAspect="1" noChangeArrowheads="1"/>
                                      </pic:cNvPicPr>
                                    </pic:nvPicPr>
                                    <pic:blipFill>
                                      <a:blip r:embed="rId5" cstate="print"/>
                                      <a:srcRect/>
                                      <a:stretch>
                                        <a:fillRect/>
                                      </a:stretch>
                                    </pic:blipFill>
                                    <pic:spPr bwMode="auto">
                                      <a:xfrm>
                                        <a:off x="0" y="0"/>
                                        <a:ext cx="124460" cy="102235"/>
                                      </a:xfrm>
                                      <a:prstGeom prst="rect">
                                        <a:avLst/>
                                      </a:prstGeom>
                                      <a:noFill/>
                                      <a:ln w="9525">
                                        <a:noFill/>
                                        <a:miter lim="800000"/>
                                        <a:headEnd/>
                                        <a:tailEnd/>
                                      </a:ln>
                                    </pic:spPr>
                                  </pic:pic>
                                </a:graphicData>
                              </a:graphic>
                            </wp:inline>
                          </w:drawing>
                        </w:r>
                        <w:hyperlink r:id="rId8" w:tgtFrame="_blank" w:history="1">
                          <w:r w:rsidRPr="006B3C0B">
                            <w:rPr>
                              <w:rFonts w:ascii="宋体" w:eastAsia="宋体" w:hAnsi="宋体" w:cs="宋体"/>
                              <w:color w:val="0000FF"/>
                              <w:kern w:val="0"/>
                              <w:sz w:val="24"/>
                              <w:szCs w:val="24"/>
                              <w:u w:val="single"/>
                            </w:rPr>
                            <w:t>附件三：项目人选信息汇总表.doc</w:t>
                          </w:r>
                        </w:hyperlink>
                      </w:p>
                    </w:tc>
                  </w:tr>
                </w:tbl>
                <w:p w:rsidR="006B3C0B" w:rsidRPr="006B3C0B" w:rsidRDefault="006B3C0B" w:rsidP="006B3C0B">
                  <w:pPr>
                    <w:widowControl/>
                    <w:jc w:val="left"/>
                    <w:rPr>
                      <w:rFonts w:ascii="宋体" w:eastAsia="宋体" w:hAnsi="宋体" w:cs="宋体"/>
                      <w:color w:val="000000"/>
                      <w:kern w:val="0"/>
                      <w:sz w:val="24"/>
                      <w:szCs w:val="24"/>
                    </w:rPr>
                  </w:pPr>
                </w:p>
              </w:tc>
            </w:tr>
          </w:tbl>
          <w:p w:rsidR="006B3C0B" w:rsidRPr="006B3C0B" w:rsidRDefault="006B3C0B" w:rsidP="006B3C0B">
            <w:pPr>
              <w:widowControl/>
              <w:jc w:val="left"/>
              <w:rPr>
                <w:rFonts w:ascii="宋体" w:eastAsia="宋体" w:hAnsi="宋体" w:cs="宋体"/>
                <w:color w:val="000000"/>
                <w:kern w:val="0"/>
                <w:sz w:val="24"/>
                <w:szCs w:val="24"/>
              </w:rPr>
            </w:pPr>
          </w:p>
        </w:tc>
      </w:tr>
      <w:tr w:rsidR="006B3C0B" w:rsidRPr="006B3C0B">
        <w:trPr>
          <w:jc w:val="center"/>
        </w:trPr>
        <w:tc>
          <w:tcPr>
            <w:tcW w:w="1695" w:type="dxa"/>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7620" cy="7620"/>
                  <wp:effectExtent l="0" t="0" r="0" b="0"/>
                  <wp:docPr id="6" name="图片 6" descr="http://oa.swjtu.edu.cn/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oa.swjtu.edu.cn/icons/ecblank.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3405" w:type="dxa"/>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7620" cy="7620"/>
                  <wp:effectExtent l="0" t="0" r="0" b="0"/>
                  <wp:docPr id="7" name="图片 7" descr="http://oa.swjtu.edu.cn/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a.swjtu.edu.cn/icons/ecblank.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1695" w:type="dxa"/>
            <w:hideMark/>
          </w:tcPr>
          <w:p w:rsidR="006B3C0B" w:rsidRPr="006B3C0B" w:rsidRDefault="006B3C0B" w:rsidP="006B3C0B">
            <w:pPr>
              <w:widowControl/>
              <w:jc w:val="left"/>
              <w:rPr>
                <w:rFonts w:ascii="宋体" w:eastAsia="宋体" w:hAnsi="宋体" w:cs="宋体"/>
                <w:color w:val="000000"/>
                <w:kern w:val="0"/>
                <w:sz w:val="24"/>
                <w:szCs w:val="24"/>
              </w:rPr>
            </w:pPr>
            <w:r>
              <w:rPr>
                <w:rFonts w:ascii="宋体" w:eastAsia="宋体" w:hAnsi="宋体" w:cs="宋体"/>
                <w:noProof/>
                <w:color w:val="000000"/>
                <w:kern w:val="0"/>
                <w:sz w:val="24"/>
                <w:szCs w:val="24"/>
              </w:rPr>
              <w:drawing>
                <wp:inline distT="0" distB="0" distL="0" distR="0">
                  <wp:extent cx="7620" cy="7620"/>
                  <wp:effectExtent l="0" t="0" r="0" b="0"/>
                  <wp:docPr id="8" name="图片 8" descr="http://oa.swjtu.edu.cn/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a.swjtu.edu.cn/icons/ecblank.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0" w:type="auto"/>
            <w:hideMark/>
          </w:tcPr>
          <w:p w:rsidR="006B3C0B" w:rsidRPr="006B3C0B" w:rsidRDefault="006B3C0B" w:rsidP="006B3C0B">
            <w:pPr>
              <w:widowControl/>
              <w:jc w:val="left"/>
              <w:rPr>
                <w:rFonts w:ascii="Times New Roman" w:eastAsia="Times New Roman" w:hAnsi="Times New Roman" w:cs="Times New Roman"/>
                <w:kern w:val="0"/>
                <w:sz w:val="20"/>
                <w:szCs w:val="20"/>
              </w:rPr>
            </w:pPr>
          </w:p>
        </w:tc>
      </w:tr>
    </w:tbl>
    <w:p w:rsidR="006B3C0B" w:rsidRDefault="006B3C0B"/>
    <w:sectPr w:rsidR="006B3C0B" w:rsidSect="004B7C2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3C0B"/>
    <w:rsid w:val="000562AD"/>
    <w:rsid w:val="004B7C2B"/>
    <w:rsid w:val="006B3C0B"/>
    <w:rsid w:val="0095077B"/>
    <w:rsid w:val="00B225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C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3C0B"/>
    <w:rPr>
      <w:color w:val="0000FF"/>
      <w:u w:val="single"/>
    </w:rPr>
  </w:style>
  <w:style w:type="paragraph" w:styleId="a4">
    <w:name w:val="Balloon Text"/>
    <w:basedOn w:val="a"/>
    <w:link w:val="Char"/>
    <w:uiPriority w:val="99"/>
    <w:semiHidden/>
    <w:unhideWhenUsed/>
    <w:rsid w:val="006B3C0B"/>
    <w:rPr>
      <w:sz w:val="18"/>
      <w:szCs w:val="18"/>
    </w:rPr>
  </w:style>
  <w:style w:type="character" w:customStyle="1" w:styleId="Char">
    <w:name w:val="批注框文本 Char"/>
    <w:basedOn w:val="a0"/>
    <w:link w:val="a4"/>
    <w:uiPriority w:val="99"/>
    <w:semiHidden/>
    <w:rsid w:val="006B3C0B"/>
    <w:rPr>
      <w:sz w:val="18"/>
      <w:szCs w:val="18"/>
    </w:rPr>
  </w:style>
</w:styles>
</file>

<file path=word/webSettings.xml><?xml version="1.0" encoding="utf-8"?>
<w:webSettings xmlns:r="http://schemas.openxmlformats.org/officeDocument/2006/relationships" xmlns:w="http://schemas.openxmlformats.org/wordprocessingml/2006/main">
  <w:divs>
    <w:div w:id="1299530776">
      <w:bodyDiv w:val="1"/>
      <w:marLeft w:val="0"/>
      <w:marRight w:val="0"/>
      <w:marTop w:val="0"/>
      <w:marBottom w:val="0"/>
      <w:divBdr>
        <w:top w:val="none" w:sz="0" w:space="0" w:color="auto"/>
        <w:left w:val="none" w:sz="0" w:space="0" w:color="auto"/>
        <w:bottom w:val="none" w:sz="0" w:space="0" w:color="auto"/>
        <w:right w:val="none" w:sz="0" w:space="0" w:color="auto"/>
      </w:divBdr>
      <w:divsChild>
        <w:div w:id="375010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a.swjtu.edu.cn/oasys/PublicInfo/tzgg.nsf/0/4BF2D95C2BEEF94F48258314001438E9/$file/%E9%99%84%E4%BB%B6%E4%B8%89%EF%BC%9A%E9%A1%B9%E7%9B%AE%E4%BA%BA%E9%80%89%E4%BF%A1%E6%81%AF%E6%B1%87%E6%80%BB%E8%A1%A8.doc?OpenElement" TargetMode="External"/><Relationship Id="rId3" Type="http://schemas.openxmlformats.org/officeDocument/2006/relationships/webSettings" Target="webSettings.xml"/><Relationship Id="rId7" Type="http://schemas.openxmlformats.org/officeDocument/2006/relationships/hyperlink" Target="http://oa.swjtu.edu.cn/oasys/PublicInfo/tzgg.nsf/0/4BF2D95C2BEEF94F48258314001438E9/$file/%E9%99%84%E4%BB%B6%E4%BA%8C%EF%BC%9A%E6%B5%B7%E5%A4%96%E5%AE%9E%E8%B7%B5%E9%99%A2%E6%A0%A1%E5%8F%8A%E6%9C%BA%E6%9E%84%E7%AE%80%E4%BB%8B.doc?OpenEle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a.swjtu.edu.cn/oasys/PublicInfo/tzgg.nsf/0/4BF2D95C2BEEF94F48258314001438E9/$file/%E9%99%84%E4%BB%B6%E4%B8%80%EF%BC%9A%E9%A1%B9%E7%9B%AE%E6%97%A5%E7%A8%8B%E8%AE%BE%E7%BD%AE%EF%BC%88%E5%88%9D%E5%AE%9A%EF%BC%89.doc?OpenElement" TargetMode="External"/><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323</Words>
  <Characters>1842</Characters>
  <Application>Microsoft Office Word</Application>
  <DocSecurity>0</DocSecurity>
  <Lines>15</Lines>
  <Paragraphs>4</Paragraphs>
  <ScaleCrop>false</ScaleCrop>
  <Company> </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2018-09-26T06:57:00Z</dcterms:created>
  <dcterms:modified xsi:type="dcterms:W3CDTF">2018-09-26T07:03:00Z</dcterms:modified>
</cp:coreProperties>
</file>